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Pro EURUSD2 v4.0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EURUSD,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EURUSD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EURUSD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"Guardian_Pro_EURUSD2_v3_1"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12351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15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Subchart2Timeframe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ADXFallingPeriod1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ADXFallingPeriod1</w:t>
            </w:r>
          </w:p>
        </w:tc>
      </w:tr>
      <w:tr>
        <w:tc>
          <w:tcPr>
            <w:tcW w:type="dxa" w:w="2160"/>
          </w:tcPr>
          <w:p>
            <w:r>
              <w:t>ADXFallingPeriod2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25</w:t>
            </w:r>
          </w:p>
        </w:tc>
        <w:tc>
          <w:tcPr>
            <w:tcW w:type="dxa" w:w="2160"/>
          </w:tcPr>
          <w:p>
            <w:r>
              <w:t>ADXFallingPeriod2</w:t>
            </w:r>
          </w:p>
        </w:tc>
      </w:tr>
      <w:tr>
        <w:tc>
          <w:tcPr>
            <w:tcW w:type="dxa" w:w="2160"/>
          </w:tcPr>
          <w:p>
            <w:r>
              <w:t>BPPeriod1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15</w:t>
            </w:r>
          </w:p>
        </w:tc>
        <w:tc>
          <w:tcPr>
            <w:tcW w:type="dxa" w:w="2160"/>
          </w:tcPr>
          <w:p>
            <w:r>
              <w:t>BPPeriod1</w:t>
            </w:r>
          </w:p>
        </w:tc>
      </w:tr>
      <w:tr>
        <w:tc>
          <w:tcPr>
            <w:tcW w:type="dxa" w:w="2160"/>
          </w:tcPr>
          <w:p>
            <w:r>
              <w:t>QQEValue1RSIPeriod1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QQEValue1RSIPeriod1</w:t>
            </w:r>
          </w:p>
        </w:tc>
      </w:tr>
      <w:tr>
        <w:tc>
          <w:tcPr>
            <w:tcW w:type="dxa" w:w="2160"/>
          </w:tcPr>
          <w:p>
            <w:r>
              <w:t>QQEValue1sF1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QQEValue1sF1</w:t>
            </w:r>
          </w:p>
        </w:tc>
      </w:tr>
      <w:tr>
        <w:tc>
          <w:tcPr>
            <w:tcW w:type="dxa" w:w="2160"/>
          </w:tcPr>
          <w:p>
            <w:r>
              <w:t>KCBarCloseserPeriod1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KCBarCloseserPeriod1</w:t>
            </w:r>
          </w:p>
        </w:tc>
      </w:tr>
      <w:tr>
        <w:tc>
          <w:tcPr>
            <w:tcW w:type="dxa" w:w="2160"/>
          </w:tcPr>
          <w:p>
            <w:r>
              <w:t>KERbelowLevelPeriod1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KERbelowLevelPeriod1</w:t>
            </w:r>
          </w:p>
        </w:tc>
      </w:tr>
      <w:tr>
        <w:tc>
          <w:tcPr>
            <w:tcW w:type="dxa" w:w="2160"/>
          </w:tcPr>
          <w:p>
            <w:r>
              <w:t>MABarClosesPeriod1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MABarClosesPeriod1</w:t>
            </w:r>
          </w:p>
        </w:tc>
      </w:tr>
      <w:tr>
        <w:tc>
          <w:tcPr>
            <w:tcW w:type="dxa" w:w="2160"/>
          </w:tcPr>
          <w:p>
            <w:r>
              <w:t>WPRCrossPeriod1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105</w:t>
            </w:r>
          </w:p>
        </w:tc>
        <w:tc>
          <w:tcPr>
            <w:tcW w:type="dxa" w:w="2160"/>
          </w:tcPr>
          <w:p>
            <w:r>
              <w:t>WPRCrossPeriod1</w:t>
            </w:r>
          </w:p>
        </w:tc>
      </w:tr>
      <w:tr>
        <w:tc>
          <w:tcPr>
            <w:tcW w:type="dxa" w:w="2160"/>
          </w:tcPr>
          <w:p>
            <w:r>
              <w:t>QQEValue1RSIPeriod2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132</w:t>
            </w:r>
          </w:p>
        </w:tc>
        <w:tc>
          <w:tcPr>
            <w:tcW w:type="dxa" w:w="2160"/>
          </w:tcPr>
          <w:p>
            <w:r>
              <w:t>QQEValue1RSIPeriod2</w:t>
            </w:r>
          </w:p>
        </w:tc>
      </w:tr>
      <w:tr>
        <w:tc>
          <w:tcPr>
            <w:tcW w:type="dxa" w:w="2160"/>
          </w:tcPr>
          <w:p>
            <w:r>
              <w:t>KERbelowLevelPeriod2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KERbelowLevelPeriod2</w:t>
            </w:r>
          </w:p>
        </w:tc>
      </w:tr>
      <w:tr>
        <w:tc>
          <w:tcPr>
            <w:tcW w:type="dxa" w:w="2160"/>
          </w:tcPr>
          <w:p>
            <w:r>
              <w:t>KERbelowLevelPeriod3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KERbelowLevelPeriod3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85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Subchart2Symbol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Subchart2TickSizeSQ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Subchart2PipSizeSQ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